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25" w:lineRule="exact"/>
        <w:ind w:left="0" w:right="0" w:firstLine="0"/>
        <w:jc w:val="left"/>
        <w:rPr>
          <w:rFonts w:ascii="黑体"/>
          <w:color w:val="000000"/>
          <w:spacing w:val="0"/>
          <w:sz w:val="32"/>
        </w:rPr>
      </w:pPr>
      <w:r>
        <w:rPr>
          <w:rFonts w:ascii="黑体" w:hAnsi="黑体" w:cs="黑体"/>
          <w:color w:val="000000"/>
          <w:spacing w:val="10"/>
          <w:sz w:val="32"/>
        </w:rPr>
        <w:t>附件</w:t>
      </w:r>
      <w:r>
        <w:rPr>
          <w:rFonts w:ascii="Times New Roman"/>
          <w:color w:val="000000"/>
          <w:spacing w:val="-5"/>
          <w:sz w:val="32"/>
        </w:rPr>
        <w:t xml:space="preserve"> </w:t>
      </w:r>
      <w:r>
        <w:rPr>
          <w:rFonts w:ascii="黑体"/>
          <w:color w:val="000000"/>
          <w:spacing w:val="0"/>
          <w:sz w:val="32"/>
        </w:rPr>
        <w:t>1</w:t>
      </w:r>
    </w:p>
    <w:p>
      <w:pPr>
        <w:spacing w:before="799" w:after="0" w:line="529" w:lineRule="exact"/>
        <w:ind w:left="2658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TWJBWE+FZXiaoBiaoSong-B05S" w:hAnsi="TWJBWE+FZXiaoBiaoSong-B05S" w:cs="TWJBWE+FZXiaoBiaoSong-B05S"/>
          <w:color w:val="000000"/>
          <w:spacing w:val="0"/>
          <w:sz w:val="44"/>
        </w:rPr>
        <w:t>河</w:t>
      </w:r>
      <w:r>
        <w:rPr>
          <w:rFonts w:ascii="Times New Roman"/>
          <w:color w:val="000000"/>
          <w:spacing w:val="66"/>
          <w:sz w:val="44"/>
        </w:rPr>
        <w:t xml:space="preserve"> </w:t>
      </w:r>
      <w:r>
        <w:rPr>
          <w:rFonts w:ascii="TWJBWE+FZXiaoBiaoSong-B05S" w:hAnsi="TWJBWE+FZXiaoBiaoSong-B05S" w:cs="TWJBWE+FZXiaoBiaoSong-B05S"/>
          <w:color w:val="000000"/>
          <w:spacing w:val="0"/>
          <w:sz w:val="44"/>
        </w:rPr>
        <w:t>南</w:t>
      </w:r>
      <w:r>
        <w:rPr>
          <w:rFonts w:ascii="Times New Roman"/>
          <w:color w:val="000000"/>
          <w:spacing w:val="65"/>
          <w:sz w:val="44"/>
        </w:rPr>
        <w:t xml:space="preserve"> </w:t>
      </w:r>
      <w:r>
        <w:rPr>
          <w:rFonts w:ascii="TWJBWE+FZXiaoBiaoSong-B05S" w:hAnsi="TWJBWE+FZXiaoBiaoSong-B05S" w:cs="TWJBWE+FZXiaoBiaoSong-B05S"/>
          <w:color w:val="000000"/>
          <w:spacing w:val="0"/>
          <w:sz w:val="44"/>
        </w:rPr>
        <w:t>省</w:t>
      </w:r>
      <w:r>
        <w:rPr>
          <w:rFonts w:ascii="Times New Roman"/>
          <w:color w:val="000000"/>
          <w:spacing w:val="66"/>
          <w:sz w:val="44"/>
        </w:rPr>
        <w:t xml:space="preserve"> </w:t>
      </w:r>
      <w:r>
        <w:rPr>
          <w:rFonts w:ascii="TWJBWE+FZXiaoBiaoSong-B05S" w:hAnsi="TWJBWE+FZXiaoBiaoSong-B05S" w:cs="TWJBWE+FZXiaoBiaoSong-B05S"/>
          <w:color w:val="000000"/>
          <w:spacing w:val="0"/>
          <w:sz w:val="44"/>
        </w:rPr>
        <w:t>教</w:t>
      </w:r>
      <w:r>
        <w:rPr>
          <w:rFonts w:ascii="Times New Roman"/>
          <w:color w:val="000000"/>
          <w:spacing w:val="65"/>
          <w:sz w:val="44"/>
        </w:rPr>
        <w:t xml:space="preserve"> </w:t>
      </w:r>
      <w:r>
        <w:rPr>
          <w:rFonts w:ascii="TWJBWE+FZXiaoBiaoSong-B05S" w:hAnsi="TWJBWE+FZXiaoBiaoSong-B05S" w:cs="TWJBWE+FZXiaoBiaoSong-B05S"/>
          <w:color w:val="000000"/>
          <w:spacing w:val="0"/>
          <w:sz w:val="44"/>
        </w:rPr>
        <w:t>育</w:t>
      </w:r>
      <w:r>
        <w:rPr>
          <w:rFonts w:ascii="Times New Roman"/>
          <w:color w:val="000000"/>
          <w:spacing w:val="66"/>
          <w:sz w:val="44"/>
        </w:rPr>
        <w:t xml:space="preserve"> </w:t>
      </w:r>
      <w:r>
        <w:rPr>
          <w:rFonts w:ascii="TWJBWE+FZXiaoBiaoSong-B05S" w:hAnsi="TWJBWE+FZXiaoBiaoSong-B05S" w:cs="TWJBWE+FZXiaoBiaoSong-B05S"/>
          <w:color w:val="000000"/>
          <w:spacing w:val="0"/>
          <w:sz w:val="44"/>
        </w:rPr>
        <w:t>厅</w:t>
      </w:r>
    </w:p>
    <w:p>
      <w:pPr>
        <w:spacing w:before="162" w:after="0" w:line="529" w:lineRule="exact"/>
        <w:ind w:left="36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Times New Roman"/>
          <w:color w:val="000000"/>
          <w:spacing w:val="-10"/>
          <w:sz w:val="44"/>
        </w:rPr>
        <w:t>2021</w:t>
      </w:r>
      <w:r>
        <w:rPr>
          <w:rFonts w:ascii="Times New Roman"/>
          <w:color w:val="000000"/>
          <w:spacing w:val="-21"/>
          <w:sz w:val="44"/>
        </w:rPr>
        <w:t xml:space="preserve"> </w:t>
      </w:r>
      <w:r>
        <w:rPr>
          <w:rFonts w:ascii="TWJBWE+FZXiaoBiaoSong-B05S" w:hAnsi="TWJBWE+FZXiaoBiaoSong-B05S" w:cs="TWJBWE+FZXiaoBiaoSong-B05S"/>
          <w:color w:val="000000"/>
          <w:spacing w:val="10"/>
          <w:sz w:val="44"/>
        </w:rPr>
        <w:t>年度教育法治专项课题研究项目指南</w:t>
      </w:r>
    </w:p>
    <w:p>
      <w:pPr>
        <w:spacing w:before="869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1.</w:t>
      </w:r>
      <w:r>
        <w:rPr>
          <w:rFonts w:ascii="QOOLLP+FangSong_GB2312" w:hAnsi="QOOLLP+FangSong_GB2312" w:cs="QOOLLP+FangSong_GB2312"/>
          <w:color w:val="000000"/>
          <w:spacing w:val="-2"/>
          <w:sz w:val="32"/>
        </w:rPr>
        <w:t>马克思主义法治理论研究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2.</w:t>
      </w:r>
      <w:r>
        <w:rPr>
          <w:rFonts w:ascii="QOOLLP+FangSong_GB2312" w:hAnsi="QOOLLP+FangSong_GB2312" w:cs="QOOLLP+FangSong_GB2312"/>
          <w:color w:val="000000"/>
          <w:spacing w:val="-2"/>
          <w:sz w:val="32"/>
        </w:rPr>
        <w:t>习近平法治思想理论和实践研究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3.</w:t>
      </w:r>
      <w:r>
        <w:rPr>
          <w:rFonts w:ascii="QOOLLP+FangSong_GB2312" w:hAnsi="QOOLLP+FangSong_GB2312" w:cs="QOOLLP+FangSong_GB2312"/>
          <w:color w:val="000000"/>
          <w:spacing w:val="-3"/>
          <w:sz w:val="32"/>
        </w:rPr>
        <w:t>习近平法治思想精神内涵与时代特色研究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4.</w:t>
      </w:r>
      <w:r>
        <w:rPr>
          <w:rFonts w:ascii="QOOLLP+FangSong_GB2312" w:hAnsi="QOOLLP+FangSong_GB2312" w:cs="QOOLLP+FangSong_GB2312"/>
          <w:color w:val="000000"/>
          <w:spacing w:val="-3"/>
          <w:sz w:val="32"/>
        </w:rPr>
        <w:t>习近平法治思想在教育领域实践研究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5.</w:t>
      </w:r>
      <w:r>
        <w:rPr>
          <w:rFonts w:ascii="QOOLLP+FangSong_GB2312" w:hAnsi="QOOLLP+FangSong_GB2312" w:cs="QOOLLP+FangSong_GB2312"/>
          <w:color w:val="000000"/>
          <w:spacing w:val="-3"/>
          <w:sz w:val="32"/>
        </w:rPr>
        <w:t>以法治思维推进教育治理体系和治理能力现代化研究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6.</w:t>
      </w:r>
      <w:r>
        <w:rPr>
          <w:rFonts w:ascii="QOOLLP+FangSong_GB2312" w:hAnsi="QOOLLP+FangSong_GB2312" w:cs="QOOLLP+FangSong_GB2312"/>
          <w:color w:val="000000"/>
          <w:spacing w:val="0"/>
          <w:sz w:val="32"/>
        </w:rPr>
        <w:t>学生宪法教育研究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7.</w:t>
      </w:r>
      <w:r>
        <w:rPr>
          <w:rFonts w:ascii="QOOLLP+FangSong_GB2312" w:hAnsi="QOOLLP+FangSong_GB2312" w:cs="QOOLLP+FangSong_GB2312"/>
          <w:color w:val="000000"/>
          <w:spacing w:val="-2"/>
          <w:sz w:val="32"/>
        </w:rPr>
        <w:t>新时代教育普法体制机制创新研究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8.</w:t>
      </w:r>
      <w:r>
        <w:rPr>
          <w:rFonts w:ascii="QOOLLP+FangSong_GB2312" w:hAnsi="QOOLLP+FangSong_GB2312" w:cs="QOOLLP+FangSong_GB2312"/>
          <w:color w:val="000000"/>
          <w:spacing w:val="-2"/>
          <w:sz w:val="32"/>
        </w:rPr>
        <w:t>学生法治实践教育及案例教学研究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9.</w:t>
      </w:r>
      <w:r>
        <w:rPr>
          <w:rFonts w:ascii="QOOLLP+FangSong_GB2312" w:hAnsi="QOOLLP+FangSong_GB2312" w:cs="QOOLLP+FangSong_GB2312"/>
          <w:color w:val="000000"/>
          <w:spacing w:val="-2"/>
          <w:sz w:val="32"/>
        </w:rPr>
        <w:t>学生法治思维和行为习惯养成研究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10.</w:t>
      </w:r>
      <w:r>
        <w:rPr>
          <w:rFonts w:ascii="QOOLLP+FangSong_GB2312" w:hAnsi="QOOLLP+FangSong_GB2312" w:cs="QOOLLP+FangSong_GB2312"/>
          <w:color w:val="000000"/>
          <w:spacing w:val="-3"/>
          <w:sz w:val="32"/>
        </w:rPr>
        <w:t>学生法治教育针对性、实效性研究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11.</w:t>
      </w:r>
      <w:r>
        <w:rPr>
          <w:rFonts w:ascii="QOOLLP+FangSong_GB2312" w:hAnsi="QOOLLP+FangSong_GB2312" w:cs="QOOLLP+FangSong_GB2312"/>
          <w:color w:val="000000"/>
          <w:spacing w:val="-4"/>
          <w:sz w:val="32"/>
        </w:rPr>
        <w:t>刑事责任年龄降低与中小学法治教育衔接研究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12.</w:t>
      </w:r>
      <w:r>
        <w:rPr>
          <w:rFonts w:ascii="QOOLLP+FangSong_GB2312" w:hAnsi="QOOLLP+FangSong_GB2312" w:cs="QOOLLP+FangSong_GB2312"/>
          <w:color w:val="000000"/>
          <w:spacing w:val="-4"/>
          <w:sz w:val="32"/>
        </w:rPr>
        <w:t>全面依法治国背景下大中小学法治课程体系研究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13.</w:t>
      </w:r>
      <w:r>
        <w:rPr>
          <w:rFonts w:ascii="QOOLLP+FangSong_GB2312" w:hAnsi="QOOLLP+FangSong_GB2312" w:cs="QOOLLP+FangSong_GB2312"/>
          <w:color w:val="000000"/>
          <w:spacing w:val="-3"/>
          <w:sz w:val="32"/>
        </w:rPr>
        <w:t>加强法治教育师资队伍建设研究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14.</w:t>
      </w:r>
      <w:r>
        <w:rPr>
          <w:rFonts w:ascii="QOOLLP+FangSong_GB2312" w:hAnsi="QOOLLP+FangSong_GB2312" w:cs="QOOLLP+FangSong_GB2312"/>
          <w:color w:val="000000"/>
          <w:spacing w:val="-3"/>
          <w:sz w:val="32"/>
        </w:rPr>
        <w:t>教师法治教育教学能力提升研究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15.</w:t>
      </w:r>
      <w:r>
        <w:rPr>
          <w:rFonts w:ascii="QOOLLP+FangSong_GB2312" w:hAnsi="QOOLLP+FangSong_GB2312" w:cs="QOOLLP+FangSong_GB2312"/>
          <w:color w:val="000000"/>
          <w:spacing w:val="-3"/>
          <w:sz w:val="32"/>
        </w:rPr>
        <w:t>依法治教、依法治校实践研究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16.</w:t>
      </w:r>
      <w:r>
        <w:rPr>
          <w:rFonts w:ascii="QOOLLP+FangSong_GB2312" w:hAnsi="QOOLLP+FangSong_GB2312" w:cs="QOOLLP+FangSong_GB2312"/>
          <w:color w:val="000000"/>
          <w:spacing w:val="-3"/>
          <w:sz w:val="32"/>
        </w:rPr>
        <w:t>中小学法治副校长工作机制研究</w:t>
      </w:r>
    </w:p>
    <w:p>
      <w:pPr>
        <w:spacing w:before="513" w:after="0" w:line="310" w:lineRule="exact"/>
        <w:ind w:left="7795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QOOLLP+FangSong_GB2312" w:hAnsi="QOOLLP+FangSong_GB2312" w:cs="QOOLLP+FangSong_GB2312"/>
          <w:color w:val="000000"/>
          <w:spacing w:val="0"/>
          <w:sz w:val="30"/>
        </w:rPr>
        <w:t>—</w:t>
      </w:r>
      <w:r>
        <w:rPr>
          <w:rFonts w:ascii="Times New Roman"/>
          <w:color w:val="000000"/>
          <w:spacing w:val="76"/>
          <w:sz w:val="30"/>
        </w:rPr>
        <w:t xml:space="preserve"> </w:t>
      </w:r>
      <w:r>
        <w:rPr>
          <w:rFonts w:ascii="CAPHBR+FangSong_GB2312"/>
          <w:color w:val="000000"/>
          <w:spacing w:val="0"/>
          <w:sz w:val="30"/>
        </w:rPr>
        <w:t xml:space="preserve">5 </w:t>
      </w:r>
      <w:r>
        <w:rPr>
          <w:rFonts w:ascii="QOOLLP+FangSong_GB2312" w:hAnsi="QOOLLP+FangSong_GB2312" w:cs="QOOLLP+FangSong_GB2312"/>
          <w:color w:val="000000"/>
          <w:spacing w:val="0"/>
          <w:sz w:val="30"/>
        </w:rPr>
        <w:t>—</w:t>
      </w: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cr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40"/>
          <w:pgMar w:top="1781" w:right="100" w:bottom="0" w:left="1652" w:header="720" w:footer="720" w:gutter="0"/>
          <w:pgNumType w:start="1"/>
          <w:cols w:space="720" w:num="1"/>
          <w:docGrid w:linePitch="1" w:charSpace="0"/>
        </w:sectPr>
      </w:pPr>
    </w:p>
    <w:p>
      <w:pPr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17.</w:t>
      </w:r>
      <w:r>
        <w:rPr>
          <w:rFonts w:ascii="QOOLLP+FangSong_GB2312" w:hAnsi="QOOLLP+FangSong_GB2312" w:cs="QOOLLP+FangSong_GB2312"/>
          <w:color w:val="000000"/>
          <w:spacing w:val="-3"/>
          <w:sz w:val="32"/>
        </w:rPr>
        <w:t>学校法律风险防控体系建设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18.</w:t>
      </w:r>
      <w:r>
        <w:rPr>
          <w:rFonts w:ascii="QOOLLP+FangSong_GB2312" w:hAnsi="QOOLLP+FangSong_GB2312" w:cs="QOOLLP+FangSong_GB2312"/>
          <w:color w:val="000000"/>
          <w:spacing w:val="-3"/>
          <w:sz w:val="32"/>
        </w:rPr>
        <w:t>新时代高校章程建设研究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19.</w:t>
      </w:r>
      <w:r>
        <w:rPr>
          <w:rFonts w:ascii="QOOLLP+FangSong_GB2312" w:hAnsi="QOOLLP+FangSong_GB2312" w:cs="QOOLLP+FangSong_GB2312"/>
          <w:color w:val="000000"/>
          <w:spacing w:val="-3"/>
          <w:sz w:val="32"/>
        </w:rPr>
        <w:t>师生权益保护制度研究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20.</w:t>
      </w:r>
      <w:r>
        <w:rPr>
          <w:rFonts w:ascii="QOOLLP+FangSong_GB2312" w:hAnsi="QOOLLP+FangSong_GB2312" w:cs="QOOLLP+FangSong_GB2312"/>
          <w:color w:val="000000"/>
          <w:spacing w:val="-3"/>
          <w:sz w:val="32"/>
        </w:rPr>
        <w:t>未成年保护法实施问题及对策研究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21.</w:t>
      </w:r>
      <w:r>
        <w:rPr>
          <w:rFonts w:ascii="QOOLLP+FangSong_GB2312" w:hAnsi="QOOLLP+FangSong_GB2312" w:cs="QOOLLP+FangSong_GB2312"/>
          <w:color w:val="000000"/>
          <w:spacing w:val="-3"/>
          <w:sz w:val="32"/>
        </w:rPr>
        <w:t>防范校园欺凌体制机制研究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22.</w:t>
      </w:r>
      <w:r>
        <w:rPr>
          <w:rFonts w:ascii="QOOLLP+FangSong_GB2312" w:hAnsi="QOOLLP+FangSong_GB2312" w:cs="QOOLLP+FangSong_GB2312"/>
          <w:color w:val="000000"/>
          <w:spacing w:val="-3"/>
          <w:sz w:val="32"/>
        </w:rPr>
        <w:t>中小学教育惩戒机制研究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23.</w:t>
      </w:r>
      <w:r>
        <w:rPr>
          <w:rFonts w:ascii="QOOLLP+FangSong_GB2312" w:hAnsi="QOOLLP+FangSong_GB2312" w:cs="QOOLLP+FangSong_GB2312"/>
          <w:color w:val="000000"/>
          <w:spacing w:val="-3"/>
          <w:sz w:val="32"/>
        </w:rPr>
        <w:t>校规校纪中的惩戒合理性审查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24.</w:t>
      </w:r>
      <w:r>
        <w:rPr>
          <w:rFonts w:ascii="QOOLLP+FangSong_GB2312" w:hAnsi="QOOLLP+FangSong_GB2312" w:cs="QOOLLP+FangSong_GB2312"/>
          <w:color w:val="000000"/>
          <w:spacing w:val="-3"/>
          <w:sz w:val="32"/>
        </w:rPr>
        <w:t>学术不端的处理机制研究</w:t>
      </w:r>
    </w:p>
    <w:p>
      <w:pPr>
        <w:spacing w:before="275" w:after="0" w:line="325" w:lineRule="exact"/>
        <w:ind w:left="631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CAPHBR+FangSong_GB2312"/>
          <w:color w:val="000000"/>
          <w:spacing w:val="5"/>
          <w:sz w:val="32"/>
        </w:rPr>
        <w:t>25.</w:t>
      </w:r>
      <w:r>
        <w:rPr>
          <w:rFonts w:ascii="QOOLLP+FangSong_GB2312" w:hAnsi="QOOLLP+FangSong_GB2312" w:cs="QOOLLP+FangSong_GB2312"/>
          <w:color w:val="000000"/>
          <w:spacing w:val="-4"/>
          <w:sz w:val="32"/>
        </w:rPr>
        <w:t>学校法治教育与家庭教育、社会教育的互动机制研究</w:t>
      </w:r>
    </w:p>
    <w:p>
      <w:pPr>
        <w:spacing w:before="785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QOOLLP+FangSong_GB2312" w:hAnsi="QOOLLP+FangSong_GB2312" w:cs="QOOLLP+FangSong_GB2312"/>
          <w:color w:val="000000"/>
          <w:spacing w:val="0"/>
          <w:sz w:val="30"/>
        </w:rPr>
        <w:t>—</w:t>
      </w:r>
      <w:r>
        <w:rPr>
          <w:rFonts w:ascii="Times New Roman"/>
          <w:color w:val="000000"/>
          <w:spacing w:val="75"/>
          <w:sz w:val="30"/>
        </w:rPr>
        <w:t xml:space="preserve"> </w:t>
      </w:r>
      <w:r>
        <w:rPr>
          <w:rFonts w:ascii="CAPHBR+FangSong_GB2312"/>
          <w:color w:val="000000"/>
          <w:spacing w:val="0"/>
          <w:sz w:val="30"/>
        </w:rPr>
        <w:t>6</w:t>
      </w:r>
      <w:r>
        <w:rPr>
          <w:rFonts w:ascii="CAPHBR+FangSong_GB2312"/>
          <w:color w:val="000000"/>
          <w:spacing w:val="1"/>
          <w:sz w:val="30"/>
        </w:rPr>
        <w:t xml:space="preserve"> </w:t>
      </w:r>
      <w:r>
        <w:rPr>
          <w:rFonts w:ascii="QOOLLP+FangSong_GB2312" w:hAnsi="QOOLLP+FangSong_GB2312" w:cs="QOOLLP+FangSong_GB2312"/>
          <w:color w:val="000000"/>
          <w:spacing w:val="0"/>
          <w:sz w:val="30"/>
        </w:rPr>
        <w:t>—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WJBWE+FZXiaoBiaoSong-B05S">
    <w:altName w:val="宋体"/>
    <w:panose1 w:val="03000509000000000000"/>
    <w:charset w:val="86"/>
    <w:family w:val="modern"/>
    <w:pitch w:val="default"/>
    <w:sig w:usb0="00000000" w:usb1="00000000" w:usb2="00000000" w:usb3="00000000" w:csb0="00040000" w:csb1="00000000"/>
  </w:font>
  <w:font w:name="CAPHBR+FangSong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QOOLLP+FangSong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0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2021-10-21T08:59:04Z</dcterms:created>
  <dc:creator>Administrator</dc:creator>
  <cp:lastModifiedBy>李永红</cp:lastModifiedBy>
  <dcterms:modified xsi:type="dcterms:W3CDTF">2021-10-21T08:59:10Z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53BFD38EE8284E05B1836CC33E03E4BC</vt:lpwstr>
  </property>
</Properties>
</file>